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8E54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16</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510030</w:t>
      </w:r>
    </w:p>
    <w:p w14:paraId="1797791D">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4A2559A8">
      <w:pPr>
        <w:pStyle w:val="16"/>
        <w:tabs>
          <w:tab w:val="right" w:pos="9781"/>
          <w:tab w:val="right" w:pos="13323"/>
          <w:tab w:val="clear" w:pos="4153"/>
          <w:tab w:val="clear" w:pos="8306"/>
        </w:tabs>
        <w:spacing w:before="60" w:after="60"/>
        <w:outlineLvl w:val="9"/>
        <w:rPr>
          <w:b/>
          <w:sz w:val="22"/>
        </w:rPr>
      </w:pPr>
    </w:p>
    <w:p w14:paraId="6B6B6038">
      <w:pPr>
        <w:tabs>
          <w:tab w:val="left" w:pos="1765"/>
          <w:tab w:val="center" w:pos="4557"/>
        </w:tabs>
        <w:rPr>
          <w:rFonts w:hint="default" w:eastAsiaTheme="minorEastAsia"/>
          <w:b/>
          <w:sz w:val="22"/>
          <w:lang w:val="en-US" w:eastAsia="zh-CN"/>
        </w:rPr>
      </w:pPr>
      <w:r>
        <w:rPr>
          <w:b/>
          <w:sz w:val="22"/>
        </w:rPr>
        <w:t>Agenda It</w:t>
      </w:r>
      <w:r>
        <w:rPr>
          <w:b/>
          <w:sz w:val="22"/>
          <w:highlight w:val="none"/>
        </w:rPr>
        <w:t>em:</w:t>
      </w:r>
      <w:r>
        <w:rPr>
          <w:b/>
          <w:sz w:val="22"/>
          <w:highlight w:val="none"/>
        </w:rPr>
        <w:tab/>
      </w:r>
      <w:r>
        <w:rPr>
          <w:rFonts w:hint="eastAsia"/>
          <w:sz w:val="22"/>
          <w:highlight w:val="none"/>
          <w:lang w:val="en-US" w:eastAsia="zh-CN"/>
        </w:rPr>
        <w:t>7.24.5.2</w:t>
      </w:r>
    </w:p>
    <w:p w14:paraId="426E4814">
      <w:pPr>
        <w:tabs>
          <w:tab w:val="left" w:pos="1765"/>
        </w:tabs>
        <w:rPr>
          <w:sz w:val="22"/>
        </w:rPr>
      </w:pPr>
      <w:r>
        <w:rPr>
          <w:b/>
          <w:sz w:val="22"/>
        </w:rPr>
        <w:t xml:space="preserve">Source: </w:t>
      </w:r>
      <w:r>
        <w:rPr>
          <w:b/>
          <w:sz w:val="22"/>
        </w:rPr>
        <w:tab/>
      </w:r>
      <w:bookmarkStart w:id="1" w:name="_Hlk41145958"/>
      <w:r>
        <w:rPr>
          <w:sz w:val="22"/>
        </w:rPr>
        <w:t>CMCC</w:t>
      </w:r>
      <w:bookmarkEnd w:id="1"/>
    </w:p>
    <w:p w14:paraId="77E3921F">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RRM impact of LP-WUR</w:t>
      </w:r>
    </w:p>
    <w:bookmarkEnd w:id="3"/>
    <w:bookmarkEnd w:id="4"/>
    <w:p w14:paraId="04C9D68F">
      <w:pPr>
        <w:tabs>
          <w:tab w:val="left" w:pos="1765"/>
        </w:tabs>
        <w:rPr>
          <w:sz w:val="22"/>
        </w:rPr>
      </w:pPr>
      <w:r>
        <w:rPr>
          <w:b/>
          <w:sz w:val="22"/>
        </w:rPr>
        <w:t>Document for:</w:t>
      </w:r>
      <w:r>
        <w:rPr>
          <w:b/>
          <w:sz w:val="22"/>
        </w:rPr>
        <w:tab/>
      </w:r>
      <w:r>
        <w:rPr>
          <w:sz w:val="22"/>
        </w:rPr>
        <w:t>Discussion</w:t>
      </w:r>
    </w:p>
    <w:p w14:paraId="59EE1028">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b w:val="0"/>
          <w:bCs w:val="0"/>
          <w:kern w:val="0"/>
          <w:sz w:val="36"/>
          <w:szCs w:val="36"/>
          <w:lang w:val="en-US" w:eastAsia="zh-CN"/>
        </w:rPr>
        <w:t xml:space="preserve">     </w:t>
      </w:r>
    </w:p>
    <w:p w14:paraId="67BBBE87">
      <w:pPr>
        <w:spacing w:before="60"/>
        <w:jc w:val="both"/>
        <w:rPr>
          <w:rFonts w:hint="default"/>
          <w:sz w:val="20"/>
          <w:szCs w:val="20"/>
          <w:lang w:val="en-US" w:eastAsia="zh-CN"/>
        </w:rPr>
      </w:pPr>
      <w:r>
        <w:rPr>
          <w:rFonts w:hint="eastAsia"/>
          <w:sz w:val="20"/>
          <w:szCs w:val="20"/>
          <w:lang w:val="en-US" w:eastAsia="zh-CN"/>
        </w:rPr>
        <w:t>In last meeting, RAN4 further discussed some general issues and detail LP-WUR requirements and simulation assumption related issues. The WF has been approved in [1]. In this contribution, we further analyze the RRM impact of LP-WUR, and provide our proposals.</w:t>
      </w:r>
    </w:p>
    <w:p w14:paraId="440462B8">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bookmarkStart w:id="7" w:name="_Hlk70326378"/>
    </w:p>
    <w:p w14:paraId="43BF020F">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1-1-9: LP-WUR status at legacy case (not at LP-WUS monitoring case/fully offloading(case 1) case/RRM relaxation (case 3) case)</w:t>
      </w:r>
    </w:p>
    <w:p w14:paraId="4812317B">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Continue discussion</w:t>
      </w:r>
    </w:p>
    <w:p w14:paraId="66DE3F36">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highlight w:val="green"/>
          <w14:textFill>
            <w14:solidFill>
              <w14:schemeClr w14:val="tx1"/>
            </w14:solidFill>
          </w14:textFill>
        </w:rPr>
      </w:pPr>
      <w:r>
        <w:rPr>
          <w:i/>
          <w:iCs/>
          <w:color w:val="000000" w:themeColor="text1"/>
          <w:sz w:val="20"/>
          <w:szCs w:val="20"/>
          <w:highlight w:val="green"/>
          <w14:textFill>
            <w14:solidFill>
              <w14:schemeClr w14:val="tx1"/>
            </w14:solidFill>
          </w14:textFill>
        </w:rPr>
        <w:t>Agreement at RAN4 114:</w:t>
      </w:r>
    </w:p>
    <w:p w14:paraId="772BFB1E">
      <w:pPr>
        <w:pStyle w:val="75"/>
        <w:keepNext w:val="0"/>
        <w:keepLines w:val="0"/>
        <w:pageBreakBefore w:val="0"/>
        <w:widowControl/>
        <w:numPr>
          <w:ilvl w:val="0"/>
          <w:numId w:val="5"/>
        </w:numPr>
        <w:kinsoku/>
        <w:wordWrap/>
        <w:overflowPunct/>
        <w:topLinePunct w:val="0"/>
        <w:autoSpaceDE/>
        <w:autoSpaceDN/>
        <w:bidi w:val="0"/>
        <w:adjustRightInd/>
        <w:snapToGrid/>
        <w:spacing w:before="60" w:after="60"/>
        <w:ind w:firstLineChars="0"/>
        <w:jc w:val="both"/>
        <w:textAlignment w:val="auto"/>
        <w:rPr>
          <w:i/>
          <w:iCs/>
          <w:color w:val="000000" w:themeColor="text1"/>
          <w:sz w:val="20"/>
          <w:szCs w:val="20"/>
          <w14:textFill>
            <w14:solidFill>
              <w14:schemeClr w14:val="tx1"/>
            </w14:solidFill>
          </w14:textFill>
        </w:rPr>
      </w:pPr>
      <w:r>
        <w:rPr>
          <w:i/>
          <w:iCs/>
          <w:color w:val="000000" w:themeColor="text1"/>
          <w:sz w:val="20"/>
          <w:szCs w:val="20"/>
          <w14:textFill>
            <w14:solidFill>
              <w14:schemeClr w14:val="tx1"/>
            </w14:solidFill>
          </w14:textFill>
        </w:rPr>
        <w:t xml:space="preserve">At legacy state, </w:t>
      </w:r>
      <w:r>
        <w:rPr>
          <w:rFonts w:hint="eastAsia"/>
          <w:i/>
          <w:iCs/>
          <w:color w:val="000000" w:themeColor="text1"/>
          <w:sz w:val="20"/>
          <w:szCs w:val="20"/>
          <w14:textFill>
            <w14:solidFill>
              <w14:schemeClr w14:val="tx1"/>
            </w14:solidFill>
          </w14:textFill>
        </w:rPr>
        <w:t>when and how to turn on LR for serving cell measurement is up to UE implementation</w:t>
      </w:r>
      <w:r>
        <w:rPr>
          <w:i/>
          <w:iCs/>
          <w:color w:val="000000" w:themeColor="text1"/>
          <w:sz w:val="20"/>
          <w:szCs w:val="20"/>
          <w14:textFill>
            <w14:solidFill>
              <w14:schemeClr w14:val="tx1"/>
            </w14:solidFill>
          </w14:textFill>
        </w:rPr>
        <w:t xml:space="preserve">. </w:t>
      </w:r>
    </w:p>
    <w:p w14:paraId="61D770CD">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Recommendations</w:t>
      </w:r>
      <w:r>
        <w:rPr>
          <w:rFonts w:hint="eastAsia"/>
          <w:i/>
          <w:iCs/>
          <w:color w:val="000000" w:themeColor="text1"/>
          <w:sz w:val="20"/>
          <w:szCs w:val="20"/>
          <w:lang w:val="en-US" w:eastAsia="zh-CN"/>
          <w14:textFill>
            <w14:solidFill>
              <w14:schemeClr w14:val="tx1"/>
            </w14:solidFill>
          </w14:textFill>
        </w:rPr>
        <w:t xml:space="preserve"> at RAN4#114bis</w:t>
      </w:r>
      <w:r>
        <w:rPr>
          <w:rFonts w:eastAsiaTheme="minorEastAsia"/>
          <w:i/>
          <w:iCs/>
          <w:color w:val="000000" w:themeColor="text1"/>
          <w:sz w:val="20"/>
          <w:szCs w:val="20"/>
          <w:lang w:val="en-US" w:eastAsia="zh-CN"/>
          <w14:textFill>
            <w14:solidFill>
              <w14:schemeClr w14:val="tx1"/>
            </w14:solidFill>
          </w14:textFill>
        </w:rPr>
        <w:t>:</w:t>
      </w:r>
    </w:p>
    <w:p w14:paraId="566407DA">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val="en-US" w:eastAsia="zh-CN"/>
          <w14:textFill>
            <w14:solidFill>
              <w14:schemeClr w14:val="tx1"/>
            </w14:solidFill>
          </w14:textFill>
        </w:rPr>
      </w:pPr>
      <w:r>
        <w:rPr>
          <w:rFonts w:eastAsiaTheme="minorEastAsia"/>
          <w:i/>
          <w:iCs/>
          <w:color w:val="000000" w:themeColor="text1"/>
          <w:sz w:val="20"/>
          <w:szCs w:val="20"/>
          <w:lang w:val="en-US" w:eastAsia="zh-CN"/>
          <w14:textFill>
            <w14:solidFill>
              <w14:schemeClr w14:val="tx1"/>
            </w14:solidFill>
          </w14:textFill>
        </w:rPr>
        <w:t xml:space="preserve">Further discuss whether LR evaluation requirements apply when LR is “ON” at legacy state. </w:t>
      </w:r>
    </w:p>
    <w:p w14:paraId="1775EB99">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i w:val="0"/>
          <w:iCs w:val="0"/>
          <w:color w:val="000000" w:themeColor="text1"/>
          <w:sz w:val="20"/>
          <w:szCs w:val="20"/>
          <w:lang w:val="en-US" w:eastAsia="zh-CN"/>
          <w14:textFill>
            <w14:solidFill>
              <w14:schemeClr w14:val="tx1"/>
            </w14:solidFill>
          </w14:textFill>
        </w:rPr>
      </w:pPr>
      <w:r>
        <w:rPr>
          <w:rFonts w:hint="eastAsia" w:eastAsia="宋体"/>
          <w:i w:val="0"/>
          <w:iCs w:val="0"/>
          <w:color w:val="000000" w:themeColor="text1"/>
          <w:sz w:val="20"/>
          <w:szCs w:val="20"/>
          <w:lang w:val="en-US" w:eastAsia="zh-CN"/>
          <w14:textFill>
            <w14:solidFill>
              <w14:schemeClr w14:val="tx1"/>
            </w14:solidFill>
          </w14:textFill>
        </w:rPr>
        <w:t xml:space="preserve">In legacy state, the LR threshold can be configured as entry condition by network, and if configured, UE must evaluate the LR based criterion. UE can entry the LP-WUS monitoring state or RRM offloading/relaxation state only of both MR threshold and LR threshold are fulfilled. </w:t>
      </w:r>
      <w:r>
        <w:rPr>
          <w:rFonts w:hint="eastAsia" w:eastAsiaTheme="minorEastAsia"/>
          <w:i w:val="0"/>
          <w:iCs w:val="0"/>
          <w:color w:val="000000" w:themeColor="text1"/>
          <w:sz w:val="20"/>
          <w:szCs w:val="20"/>
          <w:lang w:val="en-US" w:eastAsia="zh-CN"/>
          <w14:textFill>
            <w14:solidFill>
              <w14:schemeClr w14:val="tx1"/>
            </w14:solidFill>
          </w14:textFill>
        </w:rPr>
        <w:t xml:space="preserve">Based on this, it is better to have LR evaluation requirements when LR is </w:t>
      </w:r>
      <w:r>
        <w:rPr>
          <w:rFonts w:hint="default" w:eastAsiaTheme="minorEastAsia"/>
          <w:i w:val="0"/>
          <w:iCs w:val="0"/>
          <w:color w:val="000000" w:themeColor="text1"/>
          <w:sz w:val="20"/>
          <w:szCs w:val="20"/>
          <w:lang w:val="en-US" w:eastAsia="zh-CN"/>
          <w14:textFill>
            <w14:solidFill>
              <w14:schemeClr w14:val="tx1"/>
            </w14:solidFill>
          </w14:textFill>
        </w:rPr>
        <w:t>‘</w:t>
      </w:r>
      <w:r>
        <w:rPr>
          <w:rFonts w:hint="eastAsia" w:eastAsiaTheme="minorEastAsia"/>
          <w:i w:val="0"/>
          <w:iCs w:val="0"/>
          <w:color w:val="000000" w:themeColor="text1"/>
          <w:sz w:val="20"/>
          <w:szCs w:val="20"/>
          <w:lang w:val="en-US" w:eastAsia="zh-CN"/>
          <w14:textFill>
            <w14:solidFill>
              <w14:schemeClr w14:val="tx1"/>
            </w14:solidFill>
          </w14:textFill>
        </w:rPr>
        <w:t>ON</w:t>
      </w:r>
      <w:r>
        <w:rPr>
          <w:rFonts w:hint="default" w:eastAsiaTheme="minorEastAsia"/>
          <w:i w:val="0"/>
          <w:iCs w:val="0"/>
          <w:color w:val="000000" w:themeColor="text1"/>
          <w:sz w:val="20"/>
          <w:szCs w:val="20"/>
          <w:lang w:val="en-US" w:eastAsia="zh-CN"/>
          <w14:textFill>
            <w14:solidFill>
              <w14:schemeClr w14:val="tx1"/>
            </w14:solidFill>
          </w14:textFill>
        </w:rPr>
        <w:t>’</w:t>
      </w:r>
      <w:r>
        <w:rPr>
          <w:rFonts w:hint="eastAsia"/>
          <w:i w:val="0"/>
          <w:iCs w:val="0"/>
          <w:color w:val="000000" w:themeColor="text1"/>
          <w:sz w:val="20"/>
          <w:szCs w:val="20"/>
          <w:lang w:val="en-US" w:eastAsia="zh-CN"/>
          <w14:textFill>
            <w14:solidFill>
              <w14:schemeClr w14:val="tx1"/>
            </w14:solidFill>
          </w14:textFill>
        </w:rPr>
        <w:t>.</w:t>
      </w:r>
    </w:p>
    <w:p w14:paraId="7B4FB270">
      <w:pPr>
        <w:keepNext w:val="0"/>
        <w:keepLines w:val="0"/>
        <w:pageBreakBefore w:val="0"/>
        <w:widowControl/>
        <w:kinsoku/>
        <w:wordWrap/>
        <w:overflowPunct/>
        <w:topLinePunct w:val="0"/>
        <w:autoSpaceDE/>
        <w:autoSpaceDN/>
        <w:bidi w:val="0"/>
        <w:adjustRightInd/>
        <w:snapToGrid/>
        <w:spacing w:before="60" w:after="60"/>
        <w:textAlignment w:val="auto"/>
        <w:rPr>
          <w:rFonts w:hint="default"/>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 xml:space="preserve">Proposal 1: The LR evaluation requirements will be applied when LR is </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 xml:space="preserve"> at legacy state.</w:t>
      </w:r>
    </w:p>
    <w:p w14:paraId="6BD17A06">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color w:val="000000" w:themeColor="text1"/>
          <w:sz w:val="20"/>
          <w:szCs w:val="20"/>
          <w:u w:val="single"/>
          <w:lang w:val="en-US" w:eastAsia="zh-CN"/>
          <w14:textFill>
            <w14:solidFill>
              <w14:schemeClr w14:val="tx1"/>
            </w14:solidFill>
          </w14:textFill>
        </w:rPr>
      </w:pPr>
    </w:p>
    <w:p w14:paraId="77533645">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b/>
          <w:i/>
          <w:iCs/>
          <w:color w:val="000000" w:themeColor="text1"/>
          <w:sz w:val="20"/>
          <w:szCs w:val="20"/>
          <w:u w:val="single"/>
          <w:lang w:eastAsia="zh-CN"/>
          <w14:textFill>
            <w14:solidFill>
              <w14:schemeClr w14:val="tx1"/>
            </w14:solidFill>
          </w14:textFill>
        </w:rPr>
        <w:t>11</w:t>
      </w:r>
      <w:r>
        <w:rPr>
          <w:b/>
          <w:i/>
          <w:iCs/>
          <w:color w:val="000000" w:themeColor="text1"/>
          <w:sz w:val="20"/>
          <w:szCs w:val="20"/>
          <w:u w:val="single"/>
          <w:lang w:eastAsia="ko-KR"/>
          <w14:textFill>
            <w14:solidFill>
              <w14:schemeClr w14:val="tx1"/>
            </w14:solidFill>
          </w14:textFill>
        </w:rPr>
        <w:t xml:space="preserve">: RRM requirements for </w:t>
      </w:r>
      <w:r>
        <w:rPr>
          <w:b/>
          <w:i/>
          <w:iCs/>
          <w:color w:val="000000" w:themeColor="text1"/>
          <w:sz w:val="20"/>
          <w:szCs w:val="20"/>
          <w:u w:val="single"/>
          <w:lang w:eastAsia="zh-CN"/>
          <w14:textFill>
            <w14:solidFill>
              <w14:schemeClr w14:val="tx1"/>
            </w14:solidFill>
          </w14:textFill>
        </w:rPr>
        <w:t>FR2</w:t>
      </w:r>
      <w:r>
        <w:rPr>
          <w:b/>
          <w:i/>
          <w:iCs/>
          <w:color w:val="000000" w:themeColor="text1"/>
          <w:sz w:val="20"/>
          <w:szCs w:val="20"/>
          <w:u w:val="single"/>
          <w:lang w:eastAsia="ko-KR"/>
          <w14:textFill>
            <w14:solidFill>
              <w14:schemeClr w14:val="tx1"/>
            </w14:solidFill>
          </w14:textFill>
        </w:rPr>
        <w:t xml:space="preserve"> </w:t>
      </w:r>
      <w:bookmarkStart w:id="8" w:name="_GoBack"/>
      <w:bookmarkEnd w:id="8"/>
    </w:p>
    <w:p w14:paraId="4F9E9F02">
      <w:pPr>
        <w:rPr>
          <w:rFonts w:eastAsiaTheme="minorEastAsia"/>
          <w:i/>
          <w:iCs/>
          <w:color w:val="000000" w:themeColor="text1"/>
          <w:sz w:val="20"/>
          <w:szCs w:val="20"/>
          <w:lang w:eastAsia="zh-CN"/>
          <w14:textFill>
            <w14:solidFill>
              <w14:schemeClr w14:val="tx1"/>
            </w14:solidFill>
          </w14:textFill>
        </w:rPr>
      </w:pPr>
      <w:r>
        <w:rPr>
          <w:rFonts w:eastAsiaTheme="minorEastAsia"/>
          <w:i/>
          <w:iCs/>
          <w:color w:val="000000" w:themeColor="text1"/>
          <w:sz w:val="20"/>
          <w:szCs w:val="20"/>
          <w:lang w:eastAsia="zh-CN"/>
          <w14:textFill>
            <w14:solidFill>
              <w14:schemeClr w14:val="tx1"/>
            </w14:solidFill>
          </w14:textFill>
        </w:rPr>
        <w:t>Continue discussion</w:t>
      </w:r>
    </w:p>
    <w:p w14:paraId="30DBC27E">
      <w:pPr>
        <w:pStyle w:val="75"/>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color w:val="000000" w:themeColor="text1"/>
          <w:sz w:val="20"/>
          <w:szCs w:val="20"/>
          <w:lang w:val="en-US" w:eastAsia="zh-CN"/>
          <w14:textFill>
            <w14:solidFill>
              <w14:schemeClr w14:val="tx1"/>
            </w14:solidFill>
          </w14:textFill>
        </w:rPr>
      </w:pPr>
      <w:r>
        <w:rPr>
          <w:rFonts w:hint="eastAsia" w:eastAsia="宋体"/>
          <w:i w:val="0"/>
          <w:iCs w:val="0"/>
          <w:color w:val="000000" w:themeColor="text1"/>
          <w:sz w:val="20"/>
          <w:szCs w:val="20"/>
          <w:lang w:val="en-US" w:eastAsia="zh-CN"/>
          <w14:textFill>
            <w14:solidFill>
              <w14:schemeClr w14:val="tx1"/>
            </w14:solidFill>
          </w14:textFill>
        </w:rPr>
        <w:t>So far, all the discussion focus on FR1, and no company run simulation for FR2. Considering core part of the WI near the end, it seems infeasible to define FR2 RRM requirements.</w:t>
      </w:r>
    </w:p>
    <w:p w14:paraId="5392B9ED">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2: Don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t introduce FR2 RRM requirements for LP-WUS WI.</w:t>
      </w:r>
    </w:p>
    <w:p w14:paraId="1E5011F9">
      <w:pPr>
        <w:keepNext w:val="0"/>
        <w:keepLines w:val="0"/>
        <w:pageBreakBefore w:val="0"/>
        <w:widowControl/>
        <w:kinsoku/>
        <w:wordWrap/>
        <w:overflowPunct/>
        <w:topLinePunct w:val="0"/>
        <w:autoSpaceDE/>
        <w:autoSpaceDN/>
        <w:bidi w:val="0"/>
        <w:adjustRightInd/>
        <w:snapToGrid/>
        <w:spacing w:before="60" w:after="60"/>
        <w:textAlignment w:val="auto"/>
        <w:rPr>
          <w:rFonts w:hint="default"/>
          <w:b/>
          <w:i/>
          <w:iCs/>
          <w:color w:val="000000" w:themeColor="text1"/>
          <w:sz w:val="20"/>
          <w:szCs w:val="20"/>
          <w:u w:val="single"/>
          <w:lang w:val="en-US" w:eastAsia="zh-CN"/>
          <w14:textFill>
            <w14:solidFill>
              <w14:schemeClr w14:val="tx1"/>
            </w14:solidFill>
          </w14:textFill>
        </w:rPr>
      </w:pPr>
    </w:p>
    <w:p w14:paraId="1AF0EDAE">
      <w:pPr>
        <w:snapToGrid w:val="0"/>
        <w:spacing w:after="120"/>
        <w:rPr>
          <w:b/>
          <w:bCs/>
          <w:i/>
          <w:iCs/>
          <w:color w:val="000000"/>
          <w:sz w:val="20"/>
          <w:szCs w:val="20"/>
          <w:u w:val="single"/>
          <w:lang w:eastAsia="ko-KR"/>
        </w:rPr>
      </w:pPr>
      <w:r>
        <w:rPr>
          <w:b/>
          <w:bCs/>
          <w:i/>
          <w:iCs/>
          <w:color w:val="000000"/>
          <w:sz w:val="20"/>
          <w:szCs w:val="20"/>
          <w:u w:val="single"/>
          <w:lang w:eastAsia="ko-KR"/>
        </w:rPr>
        <w:t>Issue 1-2-1-1: Detail on LR accuracy and side conditions requirements</w:t>
      </w:r>
    </w:p>
    <w:p w14:paraId="6595226C">
      <w:pPr>
        <w:rPr>
          <w:rFonts w:eastAsiaTheme="minorEastAsia"/>
          <w:i/>
          <w:iCs/>
          <w:color w:val="000000" w:themeColor="text1"/>
          <w:sz w:val="20"/>
          <w:szCs w:val="20"/>
          <w:lang w:eastAsia="zh-CN"/>
          <w14:textFill>
            <w14:solidFill>
              <w14:schemeClr w14:val="tx1"/>
            </w14:solidFill>
          </w14:textFill>
        </w:rPr>
      </w:pPr>
      <w:r>
        <w:rPr>
          <w:rFonts w:eastAsiaTheme="minorEastAsia"/>
          <w:i/>
          <w:iCs/>
          <w:color w:val="000000" w:themeColor="text1"/>
          <w:sz w:val="20"/>
          <w:szCs w:val="20"/>
          <w:lang w:eastAsia="zh-CN"/>
          <w14:textFill>
            <w14:solidFill>
              <w14:schemeClr w14:val="tx1"/>
            </w14:solidFill>
          </w14:textFill>
        </w:rPr>
        <w:t>Continue discussion</w:t>
      </w:r>
    </w:p>
    <w:p w14:paraId="492E5B64">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i/>
          <w:iCs/>
          <w:color w:val="000000" w:themeColor="text1"/>
          <w:sz w:val="20"/>
          <w:szCs w:val="20"/>
          <w:highlight w:val="green"/>
          <w:lang w:val="en-US" w:eastAsia="zh-CN"/>
          <w14:textFill>
            <w14:solidFill>
              <w14:schemeClr w14:val="tx1"/>
            </w14:solidFill>
          </w14:textFill>
        </w:rPr>
      </w:pPr>
      <w:r>
        <w:rPr>
          <w:rFonts w:hint="default" w:ascii="Times New Roman" w:hAnsi="Times New Roman" w:cs="Times New Roman"/>
          <w:i/>
          <w:iCs/>
          <w:color w:val="000000" w:themeColor="text1"/>
          <w:sz w:val="20"/>
          <w:szCs w:val="20"/>
          <w:highlight w:val="green"/>
          <w:lang w:val="en-US" w:eastAsia="zh-CN"/>
          <w14:textFill>
            <w14:solidFill>
              <w14:schemeClr w14:val="tx1"/>
            </w14:solidFill>
          </w14:textFill>
        </w:rPr>
        <w:t>Agreement from RAN4#114bis:</w:t>
      </w:r>
    </w:p>
    <w:p w14:paraId="1274E1B9">
      <w:pPr>
        <w:keepNext w:val="0"/>
        <w:keepLines w:val="0"/>
        <w:pageBreakBefore w:val="0"/>
        <w:widowControl/>
        <w:kinsoku/>
        <w:wordWrap/>
        <w:overflowPunct/>
        <w:topLinePunct w:val="0"/>
        <w:autoSpaceDE/>
        <w:autoSpaceDN/>
        <w:bidi w:val="0"/>
        <w:adjustRightInd/>
        <w:snapToGrid w:val="0"/>
        <w:spacing w:before="60" w:after="60"/>
        <w:textAlignment w:val="auto"/>
        <w:rPr>
          <w:rFonts w:hint="default" w:ascii="Times New Roman" w:hAnsi="Times New Roman" w:cs="Times New Roman"/>
          <w:i/>
          <w:iCs/>
          <w:color w:val="000000" w:themeColor="text1"/>
          <w:sz w:val="20"/>
          <w:szCs w:val="20"/>
          <w:lang w:val="en-US" w:eastAsia="zh-CN"/>
          <w14:textFill>
            <w14:solidFill>
              <w14:schemeClr w14:val="tx1"/>
            </w14:solidFill>
          </w14:textFill>
        </w:rPr>
      </w:pPr>
      <w:r>
        <w:rPr>
          <w:rFonts w:hint="default" w:ascii="Times New Roman" w:hAnsi="Times New Roman" w:cs="Times New Roman"/>
          <w:i/>
          <w:iCs/>
          <w:color w:val="000000" w:themeColor="text1"/>
          <w:sz w:val="20"/>
          <w:szCs w:val="20"/>
          <w:lang w:val="en-US" w:eastAsia="zh-CN"/>
          <w14:textFill>
            <w14:solidFill>
              <w14:schemeClr w14:val="tx1"/>
            </w14:solidFill>
          </w14:textFill>
        </w:rPr>
        <w:t>For FR1:</w:t>
      </w:r>
    </w:p>
    <w:p w14:paraId="29043A3E">
      <w:pPr>
        <w:pStyle w:val="75"/>
        <w:keepNext w:val="0"/>
        <w:keepLines w:val="0"/>
        <w:pageBreakBefore w:val="0"/>
        <w:widowControl/>
        <w:numPr>
          <w:ilvl w:val="2"/>
          <w:numId w:val="5"/>
        </w:numPr>
        <w:kinsoku/>
        <w:wordWrap/>
        <w:overflowPunct/>
        <w:topLinePunct w:val="0"/>
        <w:autoSpaceDE/>
        <w:autoSpaceDN/>
        <w:bidi w:val="0"/>
        <w:adjustRightInd/>
        <w:snapToGrid w:val="0"/>
        <w:spacing w:before="60" w:after="60"/>
        <w:ind w:left="426" w:hanging="426" w:firstLineChars="0"/>
        <w:textAlignment w:val="auto"/>
        <w:rPr>
          <w:rFonts w:hint="default" w:ascii="Times New Roman" w:hAnsi="Times New Roman" w:eastAsia="宋体" w:cs="Times New Roman"/>
          <w:i/>
          <w:iCs/>
          <w:color w:val="000000" w:themeColor="text1"/>
          <w:sz w:val="20"/>
          <w:szCs w:val="20"/>
          <w14:textFill>
            <w14:solidFill>
              <w14:schemeClr w14:val="tx1"/>
            </w14:solidFill>
          </w14:textFill>
        </w:rPr>
      </w:pPr>
      <w:r>
        <w:rPr>
          <w:rFonts w:hint="default" w:ascii="Times New Roman" w:hAnsi="Times New Roman" w:eastAsia="宋体" w:cs="Times New Roman"/>
          <w:i/>
          <w:iCs/>
          <w:color w:val="000000" w:themeColor="text1"/>
          <w:sz w:val="20"/>
          <w:szCs w:val="20"/>
          <w14:textFill>
            <w14:solidFill>
              <w14:schemeClr w14:val="tx1"/>
            </w14:solidFill>
          </w14:textFill>
        </w:rPr>
        <w:t>[</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3.5] dB can be used for core requirements for LP-RSRQ accuracy and [</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 xml:space="preserve">5.5 or </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6] dB can be used for core requirements for LP-RSRP accuracy, under the side conditions Ês/Iot [x, x = -3] dB</w:t>
      </w:r>
    </w:p>
    <w:p w14:paraId="223B33AB">
      <w:pPr>
        <w:pStyle w:val="75"/>
        <w:keepNext w:val="0"/>
        <w:keepLines w:val="0"/>
        <w:pageBreakBefore w:val="0"/>
        <w:widowControl/>
        <w:numPr>
          <w:ilvl w:val="2"/>
          <w:numId w:val="5"/>
        </w:numPr>
        <w:kinsoku/>
        <w:wordWrap/>
        <w:overflowPunct/>
        <w:topLinePunct w:val="0"/>
        <w:autoSpaceDE/>
        <w:autoSpaceDN/>
        <w:bidi w:val="0"/>
        <w:adjustRightInd/>
        <w:snapToGrid w:val="0"/>
        <w:spacing w:before="60" w:after="60"/>
        <w:ind w:left="426" w:hanging="426" w:firstLineChars="0"/>
        <w:textAlignment w:val="auto"/>
        <w:rPr>
          <w:rFonts w:hint="default" w:ascii="Times New Roman" w:hAnsi="Times New Roman" w:eastAsia="宋体" w:cs="Times New Roman"/>
          <w:i/>
          <w:iCs/>
          <w:color w:val="000000" w:themeColor="text1"/>
          <w:sz w:val="20"/>
          <w:szCs w:val="20"/>
          <w14:textFill>
            <w14:solidFill>
              <w14:schemeClr w14:val="tx1"/>
            </w14:solidFill>
          </w14:textFill>
        </w:rPr>
      </w:pPr>
      <w:r>
        <w:rPr>
          <w:rFonts w:hint="default" w:ascii="Times New Roman" w:hAnsi="Times New Roman" w:eastAsia="宋体" w:cs="Times New Roman"/>
          <w:i/>
          <w:iCs/>
          <w:color w:val="000000" w:themeColor="text1"/>
          <w:sz w:val="20"/>
          <w:szCs w:val="20"/>
          <w14:textFill>
            <w14:solidFill>
              <w14:schemeClr w14:val="tx1"/>
            </w14:solidFill>
          </w14:textFill>
        </w:rPr>
        <w:t>[</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3.5] dB can be used for core requirements of SSB based RSRQ accuracy and [</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 xml:space="preserve">5.5 or </w:t>
      </w:r>
      <w:r>
        <w:rPr>
          <w:rFonts w:hint="default" w:ascii="Times New Roman" w:hAnsi="Times New Roman" w:eastAsia="宋体" w:cs="Times New Roman"/>
          <w:i/>
          <w:iCs/>
          <w:color w:val="000000" w:themeColor="text1"/>
          <w:sz w:val="20"/>
          <w:szCs w:val="20"/>
          <w14:textFill>
            <w14:solidFill>
              <w14:schemeClr w14:val="tx1"/>
            </w14:solidFill>
          </w14:textFill>
        </w:rPr>
        <w:sym w:font="Symbol" w:char="F0B1"/>
      </w:r>
      <w:r>
        <w:rPr>
          <w:rFonts w:hint="default" w:ascii="Times New Roman" w:hAnsi="Times New Roman" w:eastAsia="宋体" w:cs="Times New Roman"/>
          <w:i/>
          <w:iCs/>
          <w:color w:val="000000" w:themeColor="text1"/>
          <w:sz w:val="20"/>
          <w:szCs w:val="20"/>
          <w14:textFill>
            <w14:solidFill>
              <w14:schemeClr w14:val="tx1"/>
            </w14:solidFill>
          </w14:textFill>
        </w:rPr>
        <w:t>6] dB can be used for core requirements for SSB based RSRP accuracy, under the side conditions Ês/Iot [y, y = -3] dB</w:t>
      </w:r>
    </w:p>
    <w:p w14:paraId="5439E41D">
      <w:pPr>
        <w:pStyle w:val="75"/>
        <w:keepNext w:val="0"/>
        <w:keepLines w:val="0"/>
        <w:pageBreakBefore w:val="0"/>
        <w:widowControl/>
        <w:numPr>
          <w:ilvl w:val="2"/>
          <w:numId w:val="5"/>
        </w:numPr>
        <w:kinsoku/>
        <w:wordWrap/>
        <w:overflowPunct/>
        <w:topLinePunct w:val="0"/>
        <w:autoSpaceDE/>
        <w:autoSpaceDN/>
        <w:bidi w:val="0"/>
        <w:adjustRightInd/>
        <w:snapToGrid w:val="0"/>
        <w:spacing w:before="60" w:after="60"/>
        <w:ind w:left="426" w:hanging="426" w:firstLineChars="0"/>
        <w:textAlignment w:val="auto"/>
        <w:rPr>
          <w:rFonts w:hint="default" w:ascii="Times New Roman" w:hAnsi="Times New Roman" w:eastAsia="宋体" w:cs="Times New Roman"/>
          <w:i/>
          <w:iCs/>
          <w:color w:val="000000" w:themeColor="text1"/>
          <w:sz w:val="20"/>
          <w:szCs w:val="20"/>
          <w14:textFill>
            <w14:solidFill>
              <w14:schemeClr w14:val="tx1"/>
            </w14:solidFill>
          </w14:textFill>
        </w:rPr>
      </w:pPr>
      <w:r>
        <w:rPr>
          <w:rFonts w:hint="default" w:ascii="Times New Roman" w:hAnsi="Times New Roman" w:eastAsia="宋体" w:cs="Times New Roman"/>
          <w:i/>
          <w:iCs/>
          <w:color w:val="000000" w:themeColor="text1"/>
          <w:sz w:val="20"/>
          <w:szCs w:val="20"/>
          <w14:textFill>
            <w14:solidFill>
              <w14:schemeClr w14:val="tx1"/>
            </w14:solidFill>
          </w14:textFill>
        </w:rPr>
        <w:t xml:space="preserve">Note: [2 </w:t>
      </w:r>
      <w:r>
        <w:rPr>
          <w:rFonts w:hint="default" w:ascii="Times New Roman" w:hAnsi="Times New Roman" w:eastAsia="宋体" w:cs="Times New Roman"/>
          <w:i/>
          <w:iCs/>
          <w:color w:val="FF0000"/>
          <w:sz w:val="20"/>
          <w:szCs w:val="20"/>
          <w:u w:val="single"/>
        </w:rPr>
        <w:t>or 2.5</w:t>
      </w:r>
      <w:r>
        <w:rPr>
          <w:rFonts w:hint="default" w:ascii="Times New Roman" w:hAnsi="Times New Roman" w:eastAsia="宋体" w:cs="Times New Roman"/>
          <w:i/>
          <w:iCs/>
          <w:color w:val="000000" w:themeColor="text1"/>
          <w:sz w:val="20"/>
          <w:szCs w:val="20"/>
          <w14:textFill>
            <w14:solidFill>
              <w14:schemeClr w14:val="tx1"/>
            </w14:solidFill>
          </w14:textFill>
        </w:rPr>
        <w:t xml:space="preserve">] dB </w:t>
      </w:r>
      <w:r>
        <w:rPr>
          <w:rFonts w:hint="default" w:ascii="Times New Roman" w:hAnsi="Times New Roman" w:cs="Times New Roman"/>
          <w:i/>
          <w:iCs/>
          <w:color w:val="000000" w:themeColor="text1"/>
          <w:sz w:val="20"/>
          <w:szCs w:val="20"/>
          <w14:textFill>
            <w14:solidFill>
              <w14:schemeClr w14:val="tx1"/>
            </w14:solidFill>
          </w14:textFill>
        </w:rPr>
        <w:t>RF impairment margin is assumed</w:t>
      </w:r>
    </w:p>
    <w:p w14:paraId="47CCE318">
      <w:pPr>
        <w:spacing w:before="120" w:after="120"/>
        <w:rPr>
          <w:rFonts w:hint="eastAsia"/>
          <w:sz w:val="20"/>
          <w:szCs w:val="20"/>
          <w:lang w:val="en-US" w:eastAsia="zh-CN"/>
        </w:rPr>
      </w:pPr>
      <w:r>
        <w:rPr>
          <w:rFonts w:eastAsiaTheme="minorEastAsia"/>
          <w:sz w:val="20"/>
          <w:szCs w:val="20"/>
          <w:lang w:eastAsia="zh-CN"/>
        </w:rPr>
        <w:t xml:space="preserve">In RAN4#114-bis, the target accuracy for LR measurement is agreed with the RF margin </w:t>
      </w:r>
      <w:r>
        <w:rPr>
          <w:rFonts w:hint="eastAsia"/>
          <w:sz w:val="20"/>
          <w:szCs w:val="20"/>
          <w:lang w:val="en-US" w:eastAsia="zh-CN"/>
        </w:rPr>
        <w:t xml:space="preserve">assumed </w:t>
      </w:r>
      <w:r>
        <w:rPr>
          <w:rFonts w:eastAsiaTheme="minorEastAsia"/>
          <w:sz w:val="20"/>
          <w:szCs w:val="20"/>
          <w:lang w:eastAsia="zh-CN"/>
        </w:rPr>
        <w:t>as [2 or 2.5] dB.</w:t>
      </w:r>
      <w:r>
        <w:rPr>
          <w:rFonts w:hint="eastAsia"/>
          <w:sz w:val="20"/>
          <w:szCs w:val="20"/>
          <w:lang w:val="en-US" w:eastAsia="zh-CN"/>
        </w:rPr>
        <w:t xml:space="preserve"> For MR, 1dB-2.5dB are used as RF margin when define the RRM and Demod requirement. For LR, we are ok to use 2.5dB considering the lower RF capability of LR.</w:t>
      </w:r>
    </w:p>
    <w:p w14:paraId="3AB4B039">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3: Use 2.5dB for LR RF impairment margin.</w:t>
      </w:r>
    </w:p>
    <w:p w14:paraId="6A9F0FFD">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color w:val="000000" w:themeColor="text1"/>
          <w:sz w:val="20"/>
          <w:szCs w:val="20"/>
          <w:u w:val="single"/>
          <w:lang w:val="en-US" w:eastAsia="zh-CN"/>
          <w14:textFill>
            <w14:solidFill>
              <w14:schemeClr w14:val="tx1"/>
            </w14:solidFill>
          </w14:textFill>
        </w:rPr>
      </w:pPr>
    </w:p>
    <w:p w14:paraId="120DBD94">
      <w:pPr>
        <w:keepNext w:val="0"/>
        <w:keepLines w:val="0"/>
        <w:pageBreakBefore w:val="0"/>
        <w:widowControl/>
        <w:kinsoku/>
        <w:wordWrap/>
        <w:overflowPunct/>
        <w:topLinePunct w:val="0"/>
        <w:autoSpaceDE/>
        <w:autoSpaceDN/>
        <w:bidi w:val="0"/>
        <w:adjustRightInd/>
        <w:snapToGrid/>
        <w:spacing w:before="60" w:after="60"/>
        <w:textAlignment w:val="auto"/>
        <w:rPr>
          <w:b/>
          <w:bCs/>
          <w:i/>
          <w:iCs/>
          <w:color w:val="000000"/>
          <w:sz w:val="20"/>
          <w:szCs w:val="20"/>
          <w:u w:val="single"/>
          <w:lang w:eastAsia="ko-KR"/>
        </w:rPr>
      </w:pPr>
      <w:r>
        <w:rPr>
          <w:b/>
          <w:bCs/>
          <w:i/>
          <w:iCs/>
          <w:color w:val="000000"/>
          <w:sz w:val="20"/>
          <w:szCs w:val="20"/>
          <w:u w:val="single"/>
          <w:lang w:eastAsia="ko-KR"/>
        </w:rPr>
        <w:t>Issue 1-2-2-2: Upper bound on SSB-based LP-WUR measurement periodicity</w:t>
      </w:r>
    </w:p>
    <w:p w14:paraId="61D918A2">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eastAsia="zh-CN"/>
          <w14:textFill>
            <w14:solidFill>
              <w14:schemeClr w14:val="tx1"/>
            </w14:solidFill>
          </w14:textFill>
        </w:rPr>
      </w:pPr>
      <w:r>
        <w:rPr>
          <w:rFonts w:eastAsiaTheme="minorEastAsia"/>
          <w:i/>
          <w:iCs/>
          <w:color w:val="000000" w:themeColor="text1"/>
          <w:sz w:val="20"/>
          <w:szCs w:val="20"/>
          <w:lang w:eastAsia="zh-CN"/>
          <w14:textFill>
            <w14:solidFill>
              <w14:schemeClr w14:val="tx1"/>
            </w14:solidFill>
          </w14:textFill>
        </w:rPr>
        <w:t>Continue discussion</w:t>
      </w:r>
    </w:p>
    <w:p w14:paraId="78CFED16">
      <w:pPr>
        <w:keepNext w:val="0"/>
        <w:keepLines w:val="0"/>
        <w:pageBreakBefore w:val="0"/>
        <w:widowControl/>
        <w:kinsoku/>
        <w:wordWrap/>
        <w:overflowPunct/>
        <w:topLinePunct w:val="0"/>
        <w:autoSpaceDE/>
        <w:autoSpaceDN/>
        <w:bidi w:val="0"/>
        <w:adjustRightInd/>
        <w:snapToGrid/>
        <w:spacing w:before="60" w:after="60"/>
        <w:textAlignment w:val="auto"/>
        <w:rPr>
          <w:i/>
          <w:iCs/>
          <w:sz w:val="20"/>
          <w:szCs w:val="20"/>
          <w:highlight w:val="green"/>
          <w:lang w:eastAsia="zh-CN"/>
        </w:rPr>
      </w:pPr>
      <w:r>
        <w:rPr>
          <w:rFonts w:hint="eastAsia"/>
          <w:i/>
          <w:iCs/>
          <w:sz w:val="20"/>
          <w:szCs w:val="20"/>
          <w:highlight w:val="green"/>
          <w:lang w:eastAsia="zh-CN"/>
        </w:rPr>
        <w:t>A</w:t>
      </w:r>
      <w:r>
        <w:rPr>
          <w:i/>
          <w:iCs/>
          <w:sz w:val="20"/>
          <w:szCs w:val="20"/>
          <w:highlight w:val="green"/>
          <w:lang w:eastAsia="zh-CN"/>
        </w:rPr>
        <w:t>greement</w:t>
      </w:r>
      <w:r>
        <w:rPr>
          <w:rFonts w:hint="eastAsia"/>
          <w:i/>
          <w:iCs/>
          <w:sz w:val="20"/>
          <w:szCs w:val="20"/>
          <w:highlight w:val="green"/>
          <w:lang w:val="en-US" w:eastAsia="zh-CN"/>
        </w:rPr>
        <w:t xml:space="preserve"> from RAN4#113</w:t>
      </w:r>
      <w:r>
        <w:rPr>
          <w:i/>
          <w:iCs/>
          <w:sz w:val="20"/>
          <w:szCs w:val="20"/>
          <w:highlight w:val="green"/>
          <w:lang w:eastAsia="zh-CN"/>
        </w:rPr>
        <w:t xml:space="preserve">: </w:t>
      </w:r>
    </w:p>
    <w:p w14:paraId="5BC75B61">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sz w:val="20"/>
          <w:szCs w:val="20"/>
        </w:rPr>
      </w:pPr>
      <w:r>
        <w:rPr>
          <w:i/>
          <w:iCs/>
          <w:color w:val="000000"/>
          <w:sz w:val="20"/>
          <w:szCs w:val="20"/>
        </w:rPr>
        <w:t>If LP-SS is not configured, periodicity for SSB based LP-WUR measurement delay requirements</w:t>
      </w:r>
    </w:p>
    <w:p w14:paraId="0A0971C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ind w:firstLineChars="0"/>
        <w:textAlignment w:val="auto"/>
        <w:rPr>
          <w:i/>
          <w:iCs/>
          <w:color w:val="000000"/>
          <w:sz w:val="20"/>
          <w:szCs w:val="20"/>
        </w:rPr>
      </w:pPr>
      <w:r>
        <w:rPr>
          <w:i/>
          <w:iCs/>
          <w:color w:val="000000"/>
          <w:sz w:val="20"/>
          <w:szCs w:val="20"/>
        </w:rPr>
        <w:t>based on LO periodicity</w:t>
      </w:r>
    </w:p>
    <w:p w14:paraId="275EBB75">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i/>
          <w:iCs/>
          <w:color w:val="000000"/>
          <w:sz w:val="20"/>
          <w:szCs w:val="20"/>
        </w:rPr>
      </w:pPr>
      <w:r>
        <w:rPr>
          <w:rFonts w:hint="eastAsia"/>
          <w:i/>
          <w:iCs/>
          <w:color w:val="000000"/>
          <w:sz w:val="20"/>
          <w:szCs w:val="20"/>
        </w:rPr>
        <w:t>F</w:t>
      </w:r>
      <w:r>
        <w:rPr>
          <w:i/>
          <w:iCs/>
          <w:color w:val="000000"/>
          <w:sz w:val="20"/>
          <w:szCs w:val="20"/>
        </w:rPr>
        <w:t>FS whether to define an upper bound</w:t>
      </w:r>
    </w:p>
    <w:p w14:paraId="784A3B03">
      <w:pPr>
        <w:pStyle w:val="75"/>
        <w:keepNext w:val="0"/>
        <w:keepLines w:val="0"/>
        <w:pageBreakBefore w:val="0"/>
        <w:widowControl/>
        <w:numPr>
          <w:ilvl w:val="1"/>
          <w:numId w:val="6"/>
        </w:numPr>
        <w:kinsoku/>
        <w:wordWrap/>
        <w:overflowPunct/>
        <w:topLinePunct w:val="0"/>
        <w:autoSpaceDE/>
        <w:autoSpaceDN/>
        <w:bidi w:val="0"/>
        <w:adjustRightInd/>
        <w:snapToGrid/>
        <w:spacing w:before="60" w:after="60"/>
        <w:ind w:firstLineChars="0"/>
        <w:textAlignment w:val="auto"/>
        <w:rPr>
          <w:i/>
          <w:iCs/>
          <w:color w:val="000000"/>
          <w:sz w:val="20"/>
          <w:szCs w:val="20"/>
        </w:rPr>
      </w:pPr>
      <w:r>
        <w:rPr>
          <w:i/>
          <w:iCs/>
          <w:color w:val="000000"/>
          <w:sz w:val="20"/>
          <w:szCs w:val="20"/>
        </w:rPr>
        <w:t>Note: DRX cycle and LO periodicity are the same based on RAN1 agreement.</w:t>
      </w:r>
    </w:p>
    <w:p w14:paraId="30ED1F8D">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sz w:val="20"/>
          <w:szCs w:val="20"/>
        </w:rPr>
      </w:pPr>
      <w:r>
        <w:rPr>
          <w:i/>
          <w:iCs/>
          <w:color w:val="000000"/>
          <w:sz w:val="20"/>
          <w:szCs w:val="20"/>
        </w:rPr>
        <w:t>When LP-SS is configured, apply the same agreement as for when LP-SS is not configured</w:t>
      </w:r>
    </w:p>
    <w:p w14:paraId="13E035E6">
      <w:pPr>
        <w:pStyle w:val="75"/>
        <w:keepNext w:val="0"/>
        <w:keepLines w:val="0"/>
        <w:pageBreakBefore w:val="0"/>
        <w:widowControl/>
        <w:numPr>
          <w:ilvl w:val="0"/>
          <w:numId w:val="7"/>
        </w:numPr>
        <w:kinsoku/>
        <w:wordWrap/>
        <w:overflowPunct/>
        <w:topLinePunct w:val="0"/>
        <w:autoSpaceDE/>
        <w:autoSpaceDN/>
        <w:bidi w:val="0"/>
        <w:adjustRightInd/>
        <w:snapToGrid/>
        <w:spacing w:before="60" w:after="60"/>
        <w:ind w:firstLineChars="0"/>
        <w:textAlignment w:val="auto"/>
        <w:rPr>
          <w:i/>
          <w:iCs/>
          <w:sz w:val="20"/>
          <w:szCs w:val="20"/>
        </w:rPr>
      </w:pPr>
      <w:r>
        <w:rPr>
          <w:i/>
          <w:iCs/>
          <w:sz w:val="20"/>
          <w:szCs w:val="20"/>
        </w:rPr>
        <w:t>The above agreement applies if LO periodicity is equal to or larger than LP-SS periodicity, FFS if LO periodicity is smaller than LP-SS periodicity.</w:t>
      </w:r>
    </w:p>
    <w:p w14:paraId="27CB4697">
      <w:pPr>
        <w:keepNext w:val="0"/>
        <w:keepLines w:val="0"/>
        <w:pageBreakBefore w:val="0"/>
        <w:widowControl/>
        <w:kinsoku/>
        <w:wordWrap/>
        <w:overflowPunct/>
        <w:topLinePunct w:val="0"/>
        <w:autoSpaceDE/>
        <w:autoSpaceDN/>
        <w:bidi w:val="0"/>
        <w:adjustRightInd/>
        <w:snapToGrid/>
        <w:spacing w:before="60" w:after="60"/>
        <w:textAlignment w:val="auto"/>
        <w:rPr>
          <w:rFonts w:eastAsia="等线"/>
          <w:i/>
          <w:iCs/>
          <w:color w:val="000000"/>
          <w:sz w:val="20"/>
          <w:szCs w:val="20"/>
          <w:highlight w:val="green"/>
          <w:lang w:val="en-US" w:eastAsia="zh-CN"/>
        </w:rPr>
      </w:pPr>
      <w:r>
        <w:rPr>
          <w:rFonts w:eastAsia="等线"/>
          <w:i/>
          <w:iCs/>
          <w:color w:val="000000"/>
          <w:sz w:val="20"/>
          <w:szCs w:val="20"/>
          <w:highlight w:val="green"/>
          <w:lang w:val="en-US" w:eastAsia="zh-CN"/>
        </w:rPr>
        <w:t>Agreement</w:t>
      </w:r>
      <w:r>
        <w:rPr>
          <w:rFonts w:hint="eastAsia" w:eastAsia="等线"/>
          <w:i/>
          <w:iCs/>
          <w:color w:val="000000"/>
          <w:sz w:val="20"/>
          <w:szCs w:val="20"/>
          <w:highlight w:val="green"/>
          <w:lang w:val="en-US" w:eastAsia="zh-CN"/>
        </w:rPr>
        <w:t xml:space="preserve"> from RAN4#114bis</w:t>
      </w:r>
      <w:r>
        <w:rPr>
          <w:rFonts w:eastAsia="等线"/>
          <w:i/>
          <w:iCs/>
          <w:color w:val="000000"/>
          <w:sz w:val="20"/>
          <w:szCs w:val="20"/>
          <w:highlight w:val="green"/>
          <w:lang w:val="en-US" w:eastAsia="zh-CN"/>
        </w:rPr>
        <w:t>:</w:t>
      </w:r>
    </w:p>
    <w:p w14:paraId="3C5FCEB2">
      <w:pPr>
        <w:keepNext w:val="0"/>
        <w:keepLines w:val="0"/>
        <w:pageBreakBefore w:val="0"/>
        <w:widowControl/>
        <w:kinsoku/>
        <w:wordWrap/>
        <w:overflowPunct/>
        <w:topLinePunct w:val="0"/>
        <w:autoSpaceDE/>
        <w:autoSpaceDN/>
        <w:bidi w:val="0"/>
        <w:adjustRightInd/>
        <w:snapToGrid/>
        <w:spacing w:before="60" w:after="60"/>
        <w:textAlignment w:val="auto"/>
        <w:rPr>
          <w:i/>
          <w:iCs/>
          <w:color w:val="000000" w:themeColor="text1"/>
          <w:sz w:val="20"/>
          <w:szCs w:val="20"/>
          <w:lang w:eastAsia="zh-CN"/>
          <w14:textFill>
            <w14:solidFill>
              <w14:schemeClr w14:val="tx1"/>
            </w14:solidFill>
          </w14:textFill>
        </w:rPr>
      </w:pPr>
      <w:r>
        <w:rPr>
          <w:i/>
          <w:iCs/>
          <w:color w:val="000000" w:themeColor="text1"/>
          <w:sz w:val="20"/>
          <w:szCs w:val="20"/>
          <w:lang w:eastAsia="zh-CN"/>
          <w14:textFill>
            <w14:solidFill>
              <w14:schemeClr w14:val="tx1"/>
            </w14:solidFill>
          </w14:textFill>
        </w:rPr>
        <w:t xml:space="preserve">Regardless of  whether LP-SS is configured or not, periodicity for SSB based LP-WUR measurement delay requirements is based on LO periodicity. </w:t>
      </w:r>
    </w:p>
    <w:p w14:paraId="62D45D54">
      <w:pPr>
        <w:spacing w:before="120" w:after="120"/>
        <w:rPr>
          <w:rFonts w:hint="eastAsia" w:eastAsiaTheme="minorEastAsia"/>
          <w:sz w:val="20"/>
          <w:szCs w:val="20"/>
          <w:lang w:val="en-US" w:eastAsia="zh-CN"/>
        </w:rPr>
      </w:pPr>
      <w:r>
        <w:rPr>
          <w:rFonts w:hint="eastAsia" w:eastAsiaTheme="minorEastAsia"/>
          <w:sz w:val="20"/>
          <w:szCs w:val="20"/>
          <w:lang w:val="en-US" w:eastAsia="zh-CN"/>
        </w:rPr>
        <w:t>In past meetings, RAN4 has agreed to define SSB based LR measurement requirement by using LO periodicity. On top of this, whether an upper bound is needed keeps FFS.</w:t>
      </w:r>
    </w:p>
    <w:p w14:paraId="3C0B72BC">
      <w:pPr>
        <w:spacing w:before="120" w:after="120"/>
        <w:rPr>
          <w:rFonts w:hint="default" w:eastAsiaTheme="minorEastAsia"/>
          <w:sz w:val="20"/>
          <w:szCs w:val="20"/>
          <w:lang w:val="en-US" w:eastAsia="zh-CN"/>
        </w:rPr>
      </w:pPr>
      <w:r>
        <w:rPr>
          <w:rFonts w:hint="eastAsia" w:eastAsiaTheme="minorEastAsia"/>
          <w:sz w:val="20"/>
          <w:szCs w:val="20"/>
          <w:lang w:val="en-US" w:eastAsia="zh-CN"/>
        </w:rPr>
        <w:t>Although upper bound could help with state transition in time due to shorter evaluation delay, we are fine not to introduce this upper bound with following two considerations. First, upper bound will decrease the UE power saving gain. Second, the LO periodicity can be configured by network.</w:t>
      </w:r>
    </w:p>
    <w:p w14:paraId="66710333">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4: No upper bound is needed on top of LO periodicity.</w:t>
      </w:r>
    </w:p>
    <w:p w14:paraId="7E00292C">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color w:val="000000" w:themeColor="text1"/>
          <w:sz w:val="20"/>
          <w:szCs w:val="20"/>
          <w:u w:val="single"/>
          <w:lang w:val="en-US" w:eastAsia="zh-CN"/>
          <w14:textFill>
            <w14:solidFill>
              <w14:schemeClr w14:val="tx1"/>
            </w14:solidFill>
          </w14:textFill>
        </w:rPr>
      </w:pPr>
    </w:p>
    <w:bookmarkEnd w:id="7"/>
    <w:p w14:paraId="75A69E5B">
      <w:pPr>
        <w:keepNext w:val="0"/>
        <w:keepLines w:val="0"/>
        <w:pageBreakBefore w:val="0"/>
        <w:widowControl/>
        <w:kinsoku/>
        <w:wordWrap/>
        <w:overflowPunct/>
        <w:topLinePunct w:val="0"/>
        <w:autoSpaceDE/>
        <w:autoSpaceDN/>
        <w:bidi w:val="0"/>
        <w:adjustRightInd/>
        <w:snapToGrid/>
        <w:spacing w:before="60" w:after="60"/>
        <w:textAlignment w:val="auto"/>
        <w:rPr>
          <w:b/>
          <w:bCs/>
          <w:i/>
          <w:iCs/>
          <w:color w:val="000000"/>
          <w:sz w:val="20"/>
          <w:szCs w:val="20"/>
          <w:u w:val="single"/>
          <w:lang w:eastAsia="ko-KR"/>
        </w:rPr>
      </w:pPr>
      <w:r>
        <w:rPr>
          <w:b/>
          <w:bCs/>
          <w:i/>
          <w:iCs/>
          <w:color w:val="000000"/>
          <w:sz w:val="20"/>
          <w:szCs w:val="20"/>
          <w:u w:val="single"/>
          <w:lang w:eastAsia="ko-KR"/>
        </w:rPr>
        <w:t>Issue 1-5-2: eDRX related</w:t>
      </w:r>
    </w:p>
    <w:p w14:paraId="00F2A0D0">
      <w:pPr>
        <w:keepNext w:val="0"/>
        <w:keepLines w:val="0"/>
        <w:pageBreakBefore w:val="0"/>
        <w:widowControl/>
        <w:kinsoku/>
        <w:wordWrap/>
        <w:overflowPunct/>
        <w:topLinePunct w:val="0"/>
        <w:autoSpaceDE/>
        <w:autoSpaceDN/>
        <w:bidi w:val="0"/>
        <w:adjustRightInd/>
        <w:snapToGrid/>
        <w:spacing w:before="60" w:after="60"/>
        <w:textAlignment w:val="auto"/>
        <w:rPr>
          <w:rFonts w:eastAsiaTheme="minorEastAsia"/>
          <w:i/>
          <w:iCs/>
          <w:color w:val="000000" w:themeColor="text1"/>
          <w:sz w:val="20"/>
          <w:szCs w:val="20"/>
          <w:lang w:eastAsia="zh-CN"/>
          <w14:textFill>
            <w14:solidFill>
              <w14:schemeClr w14:val="tx1"/>
            </w14:solidFill>
          </w14:textFill>
        </w:rPr>
      </w:pPr>
      <w:r>
        <w:rPr>
          <w:rFonts w:eastAsiaTheme="minorEastAsia"/>
          <w:i/>
          <w:iCs/>
          <w:color w:val="000000" w:themeColor="text1"/>
          <w:sz w:val="20"/>
          <w:szCs w:val="20"/>
          <w:lang w:eastAsia="zh-CN"/>
          <w14:textFill>
            <w14:solidFill>
              <w14:schemeClr w14:val="tx1"/>
            </w14:solidFill>
          </w14:textFill>
        </w:rPr>
        <w:t>Contribution driven</w:t>
      </w:r>
    </w:p>
    <w:p w14:paraId="3B2DBE43">
      <w:pPr>
        <w:keepNext w:val="0"/>
        <w:keepLines w:val="0"/>
        <w:pageBreakBefore w:val="0"/>
        <w:widowControl/>
        <w:kinsoku/>
        <w:wordWrap/>
        <w:overflowPunct/>
        <w:topLinePunct w:val="0"/>
        <w:autoSpaceDE/>
        <w:autoSpaceDN/>
        <w:bidi w:val="0"/>
        <w:adjustRightInd/>
        <w:snapToGrid/>
        <w:spacing w:before="60" w:after="60"/>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As agreed before, for LP-WUS UE entry RRM relaxation mode(case 3), the relaxation factor will be 16 regardless of DRX cycle configuration.</w:t>
      </w:r>
    </w:p>
    <w:p w14:paraId="71ACC847">
      <w:pPr>
        <w:keepNext w:val="0"/>
        <w:keepLines w:val="0"/>
        <w:pageBreakBefore w:val="0"/>
        <w:widowControl/>
        <w:kinsoku/>
        <w:wordWrap/>
        <w:overflowPunct/>
        <w:topLinePunct w:val="0"/>
        <w:autoSpaceDE/>
        <w:autoSpaceDN/>
        <w:bidi w:val="0"/>
        <w:adjustRightInd/>
        <w:snapToGrid/>
        <w:spacing w:before="60" w:after="60"/>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However, we think whether 16 times relaxation can also be applied for eDRX scenario shall be further discussed. For eDRX, the detection/evaluation delay has already been very long with longer cycle, e.g., 5.12 or 10.24s, if 16 times relaxation will be applied on top of current requirement, then for eDRX cycle 10.24s, the evaluation requirement will reach 327.68s, the cell detection requirement will reach 3768.32s, which about 1h. UE may not perform neighbour cell measurement very well with such long evaluation/detection delay. Therefore, we prefer not to define requirement for the combination of eDRX feature and LP-WUS feature.</w:t>
      </w:r>
    </w:p>
    <w:p w14:paraId="4407FCD4">
      <w:pPr>
        <w:keepNext w:val="0"/>
        <w:keepLines w:val="0"/>
        <w:pageBreakBefore w:val="0"/>
        <w:widowControl/>
        <w:kinsoku/>
        <w:wordWrap/>
        <w:overflowPunct/>
        <w:topLinePunct w:val="0"/>
        <w:autoSpaceDE/>
        <w:autoSpaceDN/>
        <w:bidi w:val="0"/>
        <w:adjustRightInd/>
        <w:snapToGrid/>
        <w:spacing w:before="60" w:after="60"/>
        <w:textAlignment w:val="auto"/>
      </w:pPr>
      <w:r>
        <w:rPr>
          <w:rFonts w:hint="eastAsia"/>
          <w:b/>
          <w:bCs/>
          <w:i/>
          <w:iCs/>
          <w:color w:val="000000" w:themeColor="text1"/>
          <w:sz w:val="20"/>
          <w:szCs w:val="20"/>
          <w:lang w:val="en-US" w:eastAsia="zh-CN"/>
          <w14:textFill>
            <w14:solidFill>
              <w14:schemeClr w14:val="tx1"/>
            </w14:solidFill>
          </w14:textFill>
        </w:rPr>
        <w:t>Proposal 5: Don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t define requirements for the combination of eDRX and LP-WUS feature.</w:t>
      </w:r>
    </w:p>
    <w:p w14:paraId="23AD3FAC">
      <w:pPr>
        <w:keepNext w:val="0"/>
        <w:keepLines w:val="0"/>
        <w:pageBreakBefore w:val="0"/>
        <w:widowControl/>
        <w:kinsoku/>
        <w:wordWrap/>
        <w:overflowPunct/>
        <w:topLinePunct w:val="0"/>
        <w:autoSpaceDE/>
        <w:autoSpaceDN/>
        <w:bidi w:val="0"/>
        <w:adjustRightInd/>
        <w:snapToGrid/>
        <w:spacing w:before="60" w:after="60"/>
        <w:textAlignment w:val="auto"/>
      </w:pPr>
    </w:p>
    <w:p w14:paraId="43788F6C">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6A6A917">
      <w:pPr>
        <w:spacing w:before="60"/>
        <w:rPr>
          <w:sz w:val="20"/>
          <w:szCs w:val="20"/>
        </w:rPr>
      </w:pPr>
      <w:r>
        <w:rPr>
          <w:sz w:val="20"/>
          <w:szCs w:val="20"/>
        </w:rPr>
        <w:t>Based on the discussion above, the following</w:t>
      </w:r>
      <w:r>
        <w:rPr>
          <w:rFonts w:hint="eastAsia"/>
          <w:sz w:val="20"/>
          <w:szCs w:val="20"/>
          <w:lang w:val="en-US" w:eastAsia="zh-CN"/>
        </w:rPr>
        <w:t xml:space="preserve"> observation and </w:t>
      </w:r>
      <w:r>
        <w:rPr>
          <w:sz w:val="20"/>
          <w:szCs w:val="20"/>
        </w:rPr>
        <w:t xml:space="preserve">proposals are concluded. </w:t>
      </w:r>
      <w:bookmarkEnd w:id="5"/>
      <w:bookmarkEnd w:id="6"/>
    </w:p>
    <w:p w14:paraId="63E638C2">
      <w:pPr>
        <w:spacing w:before="60"/>
        <w:rPr>
          <w:rFonts w:hint="eastAsia"/>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 xml:space="preserve">Proposal 1: The LR evaluation requirements will be applied when LR is </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 xml:space="preserve"> at legacy state.</w:t>
      </w:r>
    </w:p>
    <w:p w14:paraId="60D980D6">
      <w:pPr>
        <w:spacing w:before="60"/>
        <w:rPr>
          <w:rFonts w:hint="eastAsia"/>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2: Don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t introduce FR2 RRM requirements for LP-WUS WI.</w:t>
      </w:r>
    </w:p>
    <w:p w14:paraId="1167F2D4">
      <w:pPr>
        <w:keepNext w:val="0"/>
        <w:keepLines w:val="0"/>
        <w:pageBreakBefore w:val="0"/>
        <w:widowControl/>
        <w:kinsoku/>
        <w:wordWrap/>
        <w:overflowPunct/>
        <w:topLinePunct w:val="0"/>
        <w:autoSpaceDE/>
        <w:autoSpaceDN/>
        <w:bidi w:val="0"/>
        <w:adjustRightInd/>
        <w:snapToGrid/>
        <w:spacing w:before="60" w:after="60"/>
        <w:textAlignment w:val="auto"/>
        <w:rPr>
          <w:rFonts w:hint="eastAsia"/>
          <w:b/>
          <w:bCs/>
          <w:i/>
          <w:iCs/>
          <w:color w:val="000000" w:themeColor="text1"/>
          <w:sz w:val="20"/>
          <w:szCs w:val="20"/>
          <w:lang w:val="en-US" w:eastAsia="zh-CN"/>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3: Use 2.5dB for LR RF impairment margin.</w:t>
      </w:r>
    </w:p>
    <w:p w14:paraId="7A9622BE">
      <w:pPr>
        <w:keepNext w:val="0"/>
        <w:keepLines w:val="0"/>
        <w:pageBreakBefore w:val="0"/>
        <w:widowControl/>
        <w:kinsoku/>
        <w:wordWrap/>
        <w:overflowPunct/>
        <w:topLinePunct w:val="0"/>
        <w:autoSpaceDE/>
        <w:autoSpaceDN/>
        <w:bidi w:val="0"/>
        <w:adjustRightInd/>
        <w:snapToGrid/>
        <w:spacing w:before="60" w:after="60"/>
        <w:textAlignment w:val="auto"/>
        <w:rPr>
          <w:b/>
          <w:i/>
          <w:iCs/>
          <w:color w:val="000000" w:themeColor="text1"/>
          <w:sz w:val="20"/>
          <w:szCs w:val="20"/>
          <w:u w:val="single"/>
          <w:lang w:eastAsia="ko-KR"/>
          <w14:textFill>
            <w14:solidFill>
              <w14:schemeClr w14:val="tx1"/>
            </w14:solidFill>
          </w14:textFill>
        </w:rPr>
      </w:pPr>
      <w:r>
        <w:rPr>
          <w:rFonts w:hint="eastAsia"/>
          <w:b/>
          <w:bCs/>
          <w:i/>
          <w:iCs/>
          <w:color w:val="000000" w:themeColor="text1"/>
          <w:sz w:val="20"/>
          <w:szCs w:val="20"/>
          <w:lang w:val="en-US" w:eastAsia="zh-CN"/>
          <w14:textFill>
            <w14:solidFill>
              <w14:schemeClr w14:val="tx1"/>
            </w14:solidFill>
          </w14:textFill>
        </w:rPr>
        <w:t>Proposal 4: No upper bound is needed on top of LO periodicity.</w:t>
      </w:r>
    </w:p>
    <w:p w14:paraId="3C96B782">
      <w:pPr>
        <w:keepNext w:val="0"/>
        <w:keepLines w:val="0"/>
        <w:pageBreakBefore w:val="0"/>
        <w:widowControl/>
        <w:kinsoku/>
        <w:wordWrap/>
        <w:overflowPunct/>
        <w:topLinePunct w:val="0"/>
        <w:autoSpaceDE/>
        <w:autoSpaceDN/>
        <w:bidi w:val="0"/>
        <w:adjustRightInd/>
        <w:snapToGrid/>
        <w:spacing w:before="60" w:after="60"/>
        <w:textAlignment w:val="auto"/>
      </w:pPr>
      <w:r>
        <w:rPr>
          <w:rFonts w:hint="eastAsia"/>
          <w:b/>
          <w:bCs/>
          <w:i/>
          <w:iCs/>
          <w:color w:val="000000" w:themeColor="text1"/>
          <w:sz w:val="20"/>
          <w:szCs w:val="20"/>
          <w:lang w:val="en-US" w:eastAsia="zh-CN"/>
          <w14:textFill>
            <w14:solidFill>
              <w14:schemeClr w14:val="tx1"/>
            </w14:solidFill>
          </w14:textFill>
        </w:rPr>
        <w:t>Proposal 5: Don</w:t>
      </w:r>
      <w:r>
        <w:rPr>
          <w:rFonts w:hint="default"/>
          <w:b/>
          <w:bCs/>
          <w:i/>
          <w:iCs/>
          <w:color w:val="000000" w:themeColor="text1"/>
          <w:sz w:val="20"/>
          <w:szCs w:val="20"/>
          <w:lang w:val="en-US" w:eastAsia="zh-CN"/>
          <w14:textFill>
            <w14:solidFill>
              <w14:schemeClr w14:val="tx1"/>
            </w14:solidFill>
          </w14:textFill>
        </w:rPr>
        <w:t>’</w:t>
      </w:r>
      <w:r>
        <w:rPr>
          <w:rFonts w:hint="eastAsia"/>
          <w:b/>
          <w:bCs/>
          <w:i/>
          <w:iCs/>
          <w:color w:val="000000" w:themeColor="text1"/>
          <w:sz w:val="20"/>
          <w:szCs w:val="20"/>
          <w:lang w:val="en-US" w:eastAsia="zh-CN"/>
          <w14:textFill>
            <w14:solidFill>
              <w14:schemeClr w14:val="tx1"/>
            </w14:solidFill>
          </w14:textFill>
        </w:rPr>
        <w:t>t define requirements for the combination of eDRX and LP-WUS feature.</w:t>
      </w:r>
    </w:p>
    <w:p w14:paraId="0D844223">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CAEB6F9">
      <w:pPr>
        <w:numPr>
          <w:ilvl w:val="0"/>
          <w:numId w:val="8"/>
        </w:numPr>
        <w:rPr>
          <w:rFonts w:hint="default"/>
          <w:sz w:val="20"/>
          <w:szCs w:val="20"/>
          <w:lang w:val="en-US" w:eastAsia="zh-CN"/>
        </w:rPr>
      </w:pPr>
      <w:r>
        <w:rPr>
          <w:rFonts w:hint="eastAsia"/>
          <w:sz w:val="20"/>
          <w:szCs w:val="20"/>
          <w:lang w:val="en-GB"/>
        </w:rPr>
        <w:t>R4-2</w:t>
      </w:r>
      <w:r>
        <w:rPr>
          <w:rFonts w:hint="eastAsia"/>
          <w:sz w:val="20"/>
          <w:szCs w:val="20"/>
          <w:lang w:val="en-US" w:eastAsia="zh-CN"/>
        </w:rPr>
        <w:t>508280, WF on RRM requirements for NR_LPWUS, Moderator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9FB0ABC"/>
    <w:multiLevelType w:val="multilevel"/>
    <w:tmpl w:val="39FB0ABC"/>
    <w:lvl w:ilvl="0" w:tentative="0">
      <w:start w:val="1"/>
      <w:numFmt w:val="bullet"/>
      <w:lvlText w:val=""/>
      <w:lvlJc w:val="left"/>
      <w:pPr>
        <w:ind w:left="420" w:hanging="420"/>
      </w:pPr>
      <w:rPr>
        <w:rFonts w:hint="default" w:ascii="Symbol" w:hAnsi="Symbol"/>
      </w:rPr>
    </w:lvl>
    <w:lvl w:ilvl="1" w:tentative="0">
      <w:start w:val="6"/>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65C85C9A"/>
    <w:multiLevelType w:val="singleLevel"/>
    <w:tmpl w:val="65C85C9A"/>
    <w:lvl w:ilvl="0" w:tentative="0">
      <w:start w:val="1"/>
      <w:numFmt w:val="decimal"/>
      <w:suff w:val="space"/>
      <w:lvlText w:val="[%1]"/>
      <w:lvlJc w:val="left"/>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88"/>
      <w:lvlText w:val=""/>
      <w:lvlJc w:val="left"/>
      <w:pPr>
        <w:tabs>
          <w:tab w:val="left" w:pos="359"/>
        </w:tabs>
        <w:ind w:left="359" w:hanging="360"/>
      </w:pPr>
      <w:rPr>
        <w:rFonts w:hint="default" w:ascii="Symbol" w:hAnsi="Symbol"/>
        <w:b/>
        <w:i w:val="0"/>
        <w:strike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66435EF"/>
    <w:multiLevelType w:val="multilevel"/>
    <w:tmpl w:val="766435E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EE5"/>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21E"/>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18558CB"/>
    <w:rsid w:val="026553AD"/>
    <w:rsid w:val="0356125E"/>
    <w:rsid w:val="037A28DF"/>
    <w:rsid w:val="038D13C7"/>
    <w:rsid w:val="03A65E3F"/>
    <w:rsid w:val="03E33755"/>
    <w:rsid w:val="0427652E"/>
    <w:rsid w:val="043A58AB"/>
    <w:rsid w:val="048A1C70"/>
    <w:rsid w:val="049C3AD5"/>
    <w:rsid w:val="04AF3E80"/>
    <w:rsid w:val="0539666D"/>
    <w:rsid w:val="061F6C01"/>
    <w:rsid w:val="0620091D"/>
    <w:rsid w:val="062F62AF"/>
    <w:rsid w:val="06CA7932"/>
    <w:rsid w:val="06DF7A57"/>
    <w:rsid w:val="070002A7"/>
    <w:rsid w:val="077C1411"/>
    <w:rsid w:val="078123BA"/>
    <w:rsid w:val="07EB7BAC"/>
    <w:rsid w:val="07FF7C2D"/>
    <w:rsid w:val="081B2752"/>
    <w:rsid w:val="081F0DE8"/>
    <w:rsid w:val="082A02ED"/>
    <w:rsid w:val="087C4EF9"/>
    <w:rsid w:val="08B32B7E"/>
    <w:rsid w:val="08F513F3"/>
    <w:rsid w:val="094224A1"/>
    <w:rsid w:val="09461324"/>
    <w:rsid w:val="099B54B4"/>
    <w:rsid w:val="09F303AF"/>
    <w:rsid w:val="0A131663"/>
    <w:rsid w:val="0A3B0786"/>
    <w:rsid w:val="0A405571"/>
    <w:rsid w:val="0A817EA7"/>
    <w:rsid w:val="0B123BC4"/>
    <w:rsid w:val="0B48567B"/>
    <w:rsid w:val="0C031150"/>
    <w:rsid w:val="0C7C0C8C"/>
    <w:rsid w:val="0CDB618D"/>
    <w:rsid w:val="0E0F2590"/>
    <w:rsid w:val="0E40223A"/>
    <w:rsid w:val="0EE74838"/>
    <w:rsid w:val="10001E3A"/>
    <w:rsid w:val="106F4ED8"/>
    <w:rsid w:val="10B71902"/>
    <w:rsid w:val="10D8402D"/>
    <w:rsid w:val="114C271A"/>
    <w:rsid w:val="11677F10"/>
    <w:rsid w:val="11BB3910"/>
    <w:rsid w:val="11DB5276"/>
    <w:rsid w:val="11E7300D"/>
    <w:rsid w:val="121769BF"/>
    <w:rsid w:val="12A40DAF"/>
    <w:rsid w:val="132C5366"/>
    <w:rsid w:val="133D6DD2"/>
    <w:rsid w:val="1357122A"/>
    <w:rsid w:val="13755ED0"/>
    <w:rsid w:val="14095135"/>
    <w:rsid w:val="148F49ED"/>
    <w:rsid w:val="14B33B02"/>
    <w:rsid w:val="14F41582"/>
    <w:rsid w:val="15684BB0"/>
    <w:rsid w:val="157022BE"/>
    <w:rsid w:val="15F40D56"/>
    <w:rsid w:val="161C5646"/>
    <w:rsid w:val="16E01E1A"/>
    <w:rsid w:val="17173A55"/>
    <w:rsid w:val="1744345F"/>
    <w:rsid w:val="175E2757"/>
    <w:rsid w:val="1769421D"/>
    <w:rsid w:val="179A47FF"/>
    <w:rsid w:val="180401FA"/>
    <w:rsid w:val="180A4855"/>
    <w:rsid w:val="18605EA3"/>
    <w:rsid w:val="195448E3"/>
    <w:rsid w:val="19A85AA6"/>
    <w:rsid w:val="19E26B69"/>
    <w:rsid w:val="19EA6BAE"/>
    <w:rsid w:val="19FF2782"/>
    <w:rsid w:val="1B0D39DF"/>
    <w:rsid w:val="1B581F69"/>
    <w:rsid w:val="1B873B39"/>
    <w:rsid w:val="1BC86F3E"/>
    <w:rsid w:val="1BF31B8E"/>
    <w:rsid w:val="1CA222B2"/>
    <w:rsid w:val="1CA41DF6"/>
    <w:rsid w:val="1CF70B01"/>
    <w:rsid w:val="1CFA3475"/>
    <w:rsid w:val="1D331922"/>
    <w:rsid w:val="1DDA333F"/>
    <w:rsid w:val="1E2775AB"/>
    <w:rsid w:val="1E611F29"/>
    <w:rsid w:val="1EB26218"/>
    <w:rsid w:val="1F510D7B"/>
    <w:rsid w:val="1F5E079B"/>
    <w:rsid w:val="1FAC3AFF"/>
    <w:rsid w:val="1FE62FE2"/>
    <w:rsid w:val="208C3D16"/>
    <w:rsid w:val="209B46C6"/>
    <w:rsid w:val="20D22409"/>
    <w:rsid w:val="21A04A77"/>
    <w:rsid w:val="21B875CA"/>
    <w:rsid w:val="220C2022"/>
    <w:rsid w:val="2286600C"/>
    <w:rsid w:val="23560518"/>
    <w:rsid w:val="23B07237"/>
    <w:rsid w:val="242258D5"/>
    <w:rsid w:val="24231158"/>
    <w:rsid w:val="2477265B"/>
    <w:rsid w:val="249C1C5B"/>
    <w:rsid w:val="25E672AF"/>
    <w:rsid w:val="25FA71A7"/>
    <w:rsid w:val="26755CF5"/>
    <w:rsid w:val="26C6525D"/>
    <w:rsid w:val="28FA378C"/>
    <w:rsid w:val="293527CC"/>
    <w:rsid w:val="29B17D5C"/>
    <w:rsid w:val="29D96DE6"/>
    <w:rsid w:val="2A017181"/>
    <w:rsid w:val="2A096906"/>
    <w:rsid w:val="2A852E16"/>
    <w:rsid w:val="2ABC2F45"/>
    <w:rsid w:val="2B935F8B"/>
    <w:rsid w:val="2C7D36A6"/>
    <w:rsid w:val="2CF5088B"/>
    <w:rsid w:val="2D275BA3"/>
    <w:rsid w:val="2D2937A4"/>
    <w:rsid w:val="2DA12880"/>
    <w:rsid w:val="2E3F5130"/>
    <w:rsid w:val="2EA436B8"/>
    <w:rsid w:val="2F435E75"/>
    <w:rsid w:val="2F4D4B27"/>
    <w:rsid w:val="30782B49"/>
    <w:rsid w:val="3155655F"/>
    <w:rsid w:val="316C4699"/>
    <w:rsid w:val="31D5300E"/>
    <w:rsid w:val="32452C35"/>
    <w:rsid w:val="32852BB9"/>
    <w:rsid w:val="335812CC"/>
    <w:rsid w:val="33625746"/>
    <w:rsid w:val="344C1AB1"/>
    <w:rsid w:val="344D1295"/>
    <w:rsid w:val="34842458"/>
    <w:rsid w:val="34871B7C"/>
    <w:rsid w:val="348D1EBF"/>
    <w:rsid w:val="34AD46FA"/>
    <w:rsid w:val="34E311FA"/>
    <w:rsid w:val="34FF4619"/>
    <w:rsid w:val="355E7EBE"/>
    <w:rsid w:val="35D85D9C"/>
    <w:rsid w:val="35DF4D5A"/>
    <w:rsid w:val="36C97283"/>
    <w:rsid w:val="371057F5"/>
    <w:rsid w:val="39A953C1"/>
    <w:rsid w:val="3A1937F2"/>
    <w:rsid w:val="3A947EA8"/>
    <w:rsid w:val="3A99673A"/>
    <w:rsid w:val="3AB626BB"/>
    <w:rsid w:val="3B2D3E6A"/>
    <w:rsid w:val="3B3720B6"/>
    <w:rsid w:val="3D1C1E13"/>
    <w:rsid w:val="3D240DAA"/>
    <w:rsid w:val="3D2C689C"/>
    <w:rsid w:val="3D9117BD"/>
    <w:rsid w:val="3DD47F19"/>
    <w:rsid w:val="3E0317B2"/>
    <w:rsid w:val="3E0456CC"/>
    <w:rsid w:val="3E532077"/>
    <w:rsid w:val="3E5B3A27"/>
    <w:rsid w:val="3E8267C9"/>
    <w:rsid w:val="3FA125F1"/>
    <w:rsid w:val="404C1A85"/>
    <w:rsid w:val="4067769B"/>
    <w:rsid w:val="40925111"/>
    <w:rsid w:val="40E56303"/>
    <w:rsid w:val="419926B2"/>
    <w:rsid w:val="41A86B47"/>
    <w:rsid w:val="41E12277"/>
    <w:rsid w:val="41E220B6"/>
    <w:rsid w:val="41F22847"/>
    <w:rsid w:val="4272131F"/>
    <w:rsid w:val="427B5BFE"/>
    <w:rsid w:val="432C2AE3"/>
    <w:rsid w:val="43B92166"/>
    <w:rsid w:val="441E3E76"/>
    <w:rsid w:val="444621DD"/>
    <w:rsid w:val="449B6469"/>
    <w:rsid w:val="44BC4DCD"/>
    <w:rsid w:val="47833CF4"/>
    <w:rsid w:val="483702F5"/>
    <w:rsid w:val="48632EE7"/>
    <w:rsid w:val="48C278A1"/>
    <w:rsid w:val="48DF3E68"/>
    <w:rsid w:val="496124C9"/>
    <w:rsid w:val="4981416D"/>
    <w:rsid w:val="49CC3F82"/>
    <w:rsid w:val="49F70D7E"/>
    <w:rsid w:val="4ACB2686"/>
    <w:rsid w:val="4C7732C7"/>
    <w:rsid w:val="4D075129"/>
    <w:rsid w:val="4E3C4D46"/>
    <w:rsid w:val="4E574397"/>
    <w:rsid w:val="4EDF5C92"/>
    <w:rsid w:val="4F8A4C6C"/>
    <w:rsid w:val="4F90367A"/>
    <w:rsid w:val="4FA659BA"/>
    <w:rsid w:val="4FB614A9"/>
    <w:rsid w:val="4FE60CEA"/>
    <w:rsid w:val="50062CBA"/>
    <w:rsid w:val="51347AD8"/>
    <w:rsid w:val="52064675"/>
    <w:rsid w:val="52704D12"/>
    <w:rsid w:val="529918CE"/>
    <w:rsid w:val="543D4952"/>
    <w:rsid w:val="547728AF"/>
    <w:rsid w:val="549A20E2"/>
    <w:rsid w:val="55E2186A"/>
    <w:rsid w:val="560739EF"/>
    <w:rsid w:val="56536940"/>
    <w:rsid w:val="568E39EC"/>
    <w:rsid w:val="569B70A9"/>
    <w:rsid w:val="56B21332"/>
    <w:rsid w:val="56CD7822"/>
    <w:rsid w:val="57116BC1"/>
    <w:rsid w:val="5744620D"/>
    <w:rsid w:val="57B1507D"/>
    <w:rsid w:val="580435EA"/>
    <w:rsid w:val="580E6663"/>
    <w:rsid w:val="590C47E4"/>
    <w:rsid w:val="59483156"/>
    <w:rsid w:val="59EB7D63"/>
    <w:rsid w:val="59F32604"/>
    <w:rsid w:val="5A3A5DD6"/>
    <w:rsid w:val="5AAC31E8"/>
    <w:rsid w:val="5AC92280"/>
    <w:rsid w:val="5B0D2F92"/>
    <w:rsid w:val="5BB77C14"/>
    <w:rsid w:val="5C376DA8"/>
    <w:rsid w:val="5CDC29AD"/>
    <w:rsid w:val="5D904821"/>
    <w:rsid w:val="5DF816FE"/>
    <w:rsid w:val="5E123B5A"/>
    <w:rsid w:val="5E511501"/>
    <w:rsid w:val="5EC02F59"/>
    <w:rsid w:val="5EFE064F"/>
    <w:rsid w:val="60CF13EE"/>
    <w:rsid w:val="60D61CA3"/>
    <w:rsid w:val="61133B45"/>
    <w:rsid w:val="62084CF3"/>
    <w:rsid w:val="62AA085A"/>
    <w:rsid w:val="63C12800"/>
    <w:rsid w:val="646539F9"/>
    <w:rsid w:val="64761E51"/>
    <w:rsid w:val="64B746F7"/>
    <w:rsid w:val="64C15903"/>
    <w:rsid w:val="657B3C25"/>
    <w:rsid w:val="65E359B8"/>
    <w:rsid w:val="65E868EF"/>
    <w:rsid w:val="666438E2"/>
    <w:rsid w:val="66C83DD1"/>
    <w:rsid w:val="66D078F0"/>
    <w:rsid w:val="679655FA"/>
    <w:rsid w:val="679B7F3E"/>
    <w:rsid w:val="67F82668"/>
    <w:rsid w:val="682928EE"/>
    <w:rsid w:val="68567F35"/>
    <w:rsid w:val="69067CBE"/>
    <w:rsid w:val="69234DCC"/>
    <w:rsid w:val="69A53FFA"/>
    <w:rsid w:val="69ED4D7E"/>
    <w:rsid w:val="6A0A1799"/>
    <w:rsid w:val="6B2E4316"/>
    <w:rsid w:val="6B43008B"/>
    <w:rsid w:val="6BE55234"/>
    <w:rsid w:val="6D301D33"/>
    <w:rsid w:val="6DD63CD1"/>
    <w:rsid w:val="6FFC4D49"/>
    <w:rsid w:val="704D029C"/>
    <w:rsid w:val="70ED1816"/>
    <w:rsid w:val="72431F7D"/>
    <w:rsid w:val="72713655"/>
    <w:rsid w:val="729B686F"/>
    <w:rsid w:val="72A10532"/>
    <w:rsid w:val="72BD34AA"/>
    <w:rsid w:val="731629DD"/>
    <w:rsid w:val="73703706"/>
    <w:rsid w:val="760B1DCC"/>
    <w:rsid w:val="766671EE"/>
    <w:rsid w:val="767C72BC"/>
    <w:rsid w:val="771506CA"/>
    <w:rsid w:val="78A310D1"/>
    <w:rsid w:val="78AA2228"/>
    <w:rsid w:val="78B804CC"/>
    <w:rsid w:val="79042936"/>
    <w:rsid w:val="79432652"/>
    <w:rsid w:val="798F6669"/>
    <w:rsid w:val="799727D8"/>
    <w:rsid w:val="7A077BF9"/>
    <w:rsid w:val="7A79519C"/>
    <w:rsid w:val="7A855C29"/>
    <w:rsid w:val="7AAB55EF"/>
    <w:rsid w:val="7AD23F03"/>
    <w:rsid w:val="7AD51A33"/>
    <w:rsid w:val="7ADD4010"/>
    <w:rsid w:val="7B311EAC"/>
    <w:rsid w:val="7BBA65DF"/>
    <w:rsid w:val="7C162A44"/>
    <w:rsid w:val="7C36041D"/>
    <w:rsid w:val="7C42596D"/>
    <w:rsid w:val="7CD1297B"/>
    <w:rsid w:val="7DCC400D"/>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1804</Words>
  <Characters>10287</Characters>
  <Lines>85</Lines>
  <Paragraphs>24</Paragraphs>
  <TotalTime>6</TotalTime>
  <ScaleCrop>false</ScaleCrop>
  <LinksUpToDate>false</LinksUpToDate>
  <CharactersWithSpaces>12067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2025-08-15T06:12:52Z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F61112A40FB1461AA46DAAB2A278F284</vt:lpwstr>
  </property>
</Properties>
</file>